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DD" w:rsidRPr="00652F76" w:rsidRDefault="005310DD">
      <w:pPr>
        <w:rPr>
          <w:rFonts w:cstheme="minorHAnsi"/>
          <w:color w:val="0E2A45" w:themeColor="text1"/>
          <w:u w:val="single"/>
        </w:rPr>
      </w:pPr>
      <w:bookmarkStart w:id="0" w:name="_GoBack"/>
      <w:bookmarkEnd w:id="0"/>
      <w:r w:rsidRPr="00652F76">
        <w:rPr>
          <w:rFonts w:cstheme="minorHAnsi"/>
          <w:color w:val="0E2A45" w:themeColor="text1"/>
          <w:u w:val="single"/>
        </w:rPr>
        <w:t>Reportable Conduct Scheme</w:t>
      </w:r>
    </w:p>
    <w:p w:rsidR="00DD4F6A" w:rsidRPr="00652F76" w:rsidRDefault="00903AEB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The </w:t>
      </w:r>
      <w:r w:rsidR="00DD4F6A" w:rsidRPr="00652F76">
        <w:rPr>
          <w:rFonts w:cstheme="minorHAnsi"/>
          <w:color w:val="0E2A45" w:themeColor="text1"/>
        </w:rPr>
        <w:t>Victoria</w:t>
      </w:r>
      <w:r w:rsidR="00C54E31">
        <w:rPr>
          <w:rFonts w:cstheme="minorHAnsi"/>
          <w:color w:val="0E2A45" w:themeColor="text1"/>
        </w:rPr>
        <w:t>n government has passed</w:t>
      </w:r>
      <w:r w:rsidRPr="00652F76">
        <w:rPr>
          <w:rFonts w:cstheme="minorHAnsi"/>
          <w:color w:val="0E2A45" w:themeColor="text1"/>
        </w:rPr>
        <w:t xml:space="preserve"> legislation</w:t>
      </w:r>
      <w:r w:rsidR="00DD4F6A" w:rsidRPr="00652F76">
        <w:rPr>
          <w:rFonts w:cstheme="minorHAnsi"/>
          <w:color w:val="0E2A45" w:themeColor="text1"/>
        </w:rPr>
        <w:t xml:space="preserve"> introducing a Reportable Conduct Scheme. The Children Legislation Amendment (Reportable Conduct) Act 2017 requires organisations that exercise care, supervision and authority </w:t>
      </w:r>
      <w:r w:rsidR="002F1059" w:rsidRPr="00652F76">
        <w:rPr>
          <w:rFonts w:cstheme="minorHAnsi"/>
          <w:color w:val="0E2A45" w:themeColor="text1"/>
        </w:rPr>
        <w:t>over children,</w:t>
      </w:r>
      <w:r w:rsidR="003B720A" w:rsidRPr="00652F76">
        <w:rPr>
          <w:rFonts w:cstheme="minorHAnsi"/>
          <w:color w:val="0E2A45" w:themeColor="text1"/>
        </w:rPr>
        <w:t xml:space="preserve"> to report</w:t>
      </w:r>
      <w:r w:rsidR="00DD4F6A" w:rsidRPr="00652F76">
        <w:rPr>
          <w:rFonts w:cstheme="minorHAnsi"/>
          <w:color w:val="0E2A45" w:themeColor="text1"/>
        </w:rPr>
        <w:t xml:space="preserve"> allegations of reportable conduct by an employee to the Commission for Children and Young People</w:t>
      </w:r>
      <w:r w:rsidR="00792A7C" w:rsidRPr="00652F76">
        <w:rPr>
          <w:rFonts w:cstheme="minorHAnsi"/>
          <w:color w:val="0E2A45" w:themeColor="text1"/>
        </w:rPr>
        <w:t xml:space="preserve"> (‘the Commission’)</w:t>
      </w:r>
      <w:r w:rsidR="00DD4F6A" w:rsidRPr="00652F76">
        <w:rPr>
          <w:rFonts w:cstheme="minorHAnsi"/>
          <w:color w:val="0E2A45" w:themeColor="text1"/>
        </w:rPr>
        <w:t xml:space="preserve">. This will allow for independent scrutiny of the way organisations investigate misconduct involving children. </w:t>
      </w:r>
    </w:p>
    <w:p w:rsidR="003B720A" w:rsidRPr="00652F76" w:rsidRDefault="00DD4F6A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Reportable conduct will include</w:t>
      </w:r>
      <w:r w:rsidR="003B720A" w:rsidRPr="00652F76">
        <w:rPr>
          <w:rFonts w:cstheme="minorHAnsi"/>
          <w:color w:val="0E2A45" w:themeColor="text1"/>
        </w:rPr>
        <w:t xml:space="preserve"> the following</w:t>
      </w:r>
      <w:r w:rsidR="002F1059" w:rsidRPr="00652F76">
        <w:rPr>
          <w:rFonts w:cstheme="minorHAnsi"/>
          <w:color w:val="0E2A45" w:themeColor="text1"/>
        </w:rPr>
        <w:t xml:space="preserve"> acts committed by an employee whether or not they are alleged to have occurred during the course of the person’s employment</w:t>
      </w:r>
      <w:r w:rsidR="003B720A" w:rsidRPr="00652F76">
        <w:rPr>
          <w:rFonts w:cstheme="minorHAnsi"/>
          <w:color w:val="0E2A45" w:themeColor="text1"/>
        </w:rPr>
        <w:t>:</w:t>
      </w:r>
    </w:p>
    <w:p w:rsidR="003B720A" w:rsidRPr="00652F76" w:rsidRDefault="003B720A" w:rsidP="003B720A">
      <w:pPr>
        <w:pStyle w:val="ListParagraph"/>
        <w:numPr>
          <w:ilvl w:val="0"/>
          <w:numId w:val="1"/>
        </w:numPr>
        <w:rPr>
          <w:rFonts w:cstheme="minorHAnsi"/>
          <w:color w:val="0E2A45" w:themeColor="text1"/>
        </w:rPr>
      </w:pPr>
      <w:proofErr w:type="gramStart"/>
      <w:r w:rsidRPr="00652F76">
        <w:rPr>
          <w:rFonts w:cstheme="minorHAnsi"/>
          <w:color w:val="0E2A45" w:themeColor="text1"/>
        </w:rPr>
        <w:t>sexual</w:t>
      </w:r>
      <w:proofErr w:type="gramEnd"/>
      <w:r w:rsidRPr="00652F76">
        <w:rPr>
          <w:rFonts w:cstheme="minorHAnsi"/>
          <w:color w:val="0E2A45" w:themeColor="text1"/>
        </w:rPr>
        <w:t xml:space="preserve"> offence committed against, with or in the presence of a child, whether or not criminal proceedings have been commenced or concluded.</w:t>
      </w:r>
    </w:p>
    <w:p w:rsidR="003B720A" w:rsidRPr="00652F76" w:rsidRDefault="003B720A" w:rsidP="003B720A">
      <w:pPr>
        <w:pStyle w:val="ListParagraph"/>
        <w:numPr>
          <w:ilvl w:val="0"/>
          <w:numId w:val="1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sexual misconduct  </w:t>
      </w:r>
    </w:p>
    <w:p w:rsidR="00DD4F6A" w:rsidRPr="00652F76" w:rsidRDefault="003B720A" w:rsidP="003B720A">
      <w:pPr>
        <w:pStyle w:val="ListParagraph"/>
        <w:numPr>
          <w:ilvl w:val="0"/>
          <w:numId w:val="1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p</w:t>
      </w:r>
      <w:r w:rsidR="00DD4F6A" w:rsidRPr="00652F76">
        <w:rPr>
          <w:rFonts w:cstheme="minorHAnsi"/>
          <w:color w:val="0E2A45" w:themeColor="text1"/>
        </w:rPr>
        <w:t xml:space="preserve">hysical violence </w:t>
      </w:r>
    </w:p>
    <w:p w:rsidR="003B720A" w:rsidRPr="00652F76" w:rsidRDefault="003B720A" w:rsidP="003B720A">
      <w:pPr>
        <w:pStyle w:val="ListParagraph"/>
        <w:numPr>
          <w:ilvl w:val="0"/>
          <w:numId w:val="1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significant neglect of a child</w:t>
      </w:r>
    </w:p>
    <w:p w:rsidR="003B720A" w:rsidRPr="00652F76" w:rsidRDefault="003B720A" w:rsidP="003B720A">
      <w:pPr>
        <w:pStyle w:val="ListParagraph"/>
        <w:numPr>
          <w:ilvl w:val="0"/>
          <w:numId w:val="1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any behaviour that is likely to cause significant emotional or psychological harm to a child</w:t>
      </w:r>
    </w:p>
    <w:p w:rsidR="00293F86" w:rsidRPr="00652F76" w:rsidRDefault="002F1059" w:rsidP="008F0CAD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The organisation must have systems in place to</w:t>
      </w:r>
      <w:r w:rsidR="008F0CAD" w:rsidRPr="00652F76">
        <w:rPr>
          <w:rFonts w:cstheme="minorHAnsi"/>
          <w:color w:val="0E2A45" w:themeColor="text1"/>
        </w:rPr>
        <w:t xml:space="preserve"> prevent, report a</w:t>
      </w:r>
      <w:r w:rsidR="00C54E31">
        <w:rPr>
          <w:rFonts w:cstheme="minorHAnsi"/>
          <w:color w:val="0E2A45" w:themeColor="text1"/>
        </w:rPr>
        <w:t>nd investigate</w:t>
      </w:r>
      <w:r w:rsidR="008F0CAD" w:rsidRPr="00652F76">
        <w:rPr>
          <w:rFonts w:cstheme="minorHAnsi"/>
          <w:color w:val="0E2A45" w:themeColor="text1"/>
        </w:rPr>
        <w:t xml:space="preserve"> reportable conduct</w:t>
      </w:r>
      <w:r w:rsidR="00C54E31">
        <w:rPr>
          <w:rFonts w:cstheme="minorHAnsi"/>
          <w:color w:val="0E2A45" w:themeColor="text1"/>
        </w:rPr>
        <w:t xml:space="preserve"> alleged to have been </w:t>
      </w:r>
      <w:proofErr w:type="gramStart"/>
      <w:r w:rsidR="00C54E31">
        <w:rPr>
          <w:rFonts w:cstheme="minorHAnsi"/>
          <w:color w:val="0E2A45" w:themeColor="text1"/>
        </w:rPr>
        <w:t xml:space="preserve">committed </w:t>
      </w:r>
      <w:r w:rsidR="008F0CAD" w:rsidRPr="00652F76">
        <w:rPr>
          <w:rFonts w:cstheme="minorHAnsi"/>
          <w:color w:val="0E2A45" w:themeColor="text1"/>
        </w:rPr>
        <w:t xml:space="preserve"> by</w:t>
      </w:r>
      <w:proofErr w:type="gramEnd"/>
      <w:r w:rsidR="008F0CAD" w:rsidRPr="00652F76">
        <w:rPr>
          <w:rFonts w:cstheme="minorHAnsi"/>
          <w:color w:val="0E2A45" w:themeColor="text1"/>
        </w:rPr>
        <w:t xml:space="preserve"> an employee. </w:t>
      </w:r>
      <w:r w:rsidRPr="00652F76">
        <w:rPr>
          <w:rFonts w:cstheme="minorHAnsi"/>
          <w:color w:val="0E2A45" w:themeColor="text1"/>
        </w:rPr>
        <w:t xml:space="preserve"> </w:t>
      </w:r>
      <w:r w:rsidR="008F0CAD" w:rsidRPr="00652F76">
        <w:rPr>
          <w:rFonts w:cstheme="minorHAnsi"/>
          <w:color w:val="0E2A45" w:themeColor="text1"/>
        </w:rPr>
        <w:t>The Commission must be notified of an allegation of reportable conduct by the organisation</w:t>
      </w:r>
      <w:r w:rsidR="00293F86" w:rsidRPr="00652F76">
        <w:rPr>
          <w:rFonts w:cstheme="minorHAnsi"/>
          <w:color w:val="0E2A45" w:themeColor="text1"/>
        </w:rPr>
        <w:t xml:space="preserve"> and the outcome of the investigation</w:t>
      </w:r>
      <w:r w:rsidR="008F0CAD" w:rsidRPr="00652F76">
        <w:rPr>
          <w:rFonts w:cstheme="minorHAnsi"/>
          <w:color w:val="0E2A45" w:themeColor="text1"/>
        </w:rPr>
        <w:t>. The Commission</w:t>
      </w:r>
      <w:r w:rsidR="00CF36CC">
        <w:rPr>
          <w:rFonts w:cstheme="minorHAnsi"/>
          <w:color w:val="0E2A45" w:themeColor="text1"/>
        </w:rPr>
        <w:t xml:space="preserve"> will have</w:t>
      </w:r>
      <w:r w:rsidR="00293F86" w:rsidRPr="00652F76">
        <w:rPr>
          <w:rFonts w:cstheme="minorHAnsi"/>
          <w:color w:val="0E2A45" w:themeColor="text1"/>
        </w:rPr>
        <w:t xml:space="preserve"> powers to:</w:t>
      </w:r>
    </w:p>
    <w:p w:rsidR="00293F86" w:rsidRPr="00652F76" w:rsidRDefault="00293F86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investigate an allegation of reportable conduct</w:t>
      </w:r>
    </w:p>
    <w:p w:rsidR="00293F86" w:rsidRPr="00652F76" w:rsidRDefault="00792A7C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investigate </w:t>
      </w:r>
      <w:r w:rsidR="00293F86" w:rsidRPr="00652F76">
        <w:rPr>
          <w:rFonts w:cstheme="minorHAnsi"/>
          <w:color w:val="0E2A45" w:themeColor="text1"/>
        </w:rPr>
        <w:t>the response by an organisation to an allegation of reportable conduct</w:t>
      </w:r>
    </w:p>
    <w:p w:rsidR="0000370B" w:rsidRPr="00652F76" w:rsidRDefault="0000370B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conduct interviews in the course of its investigation </w:t>
      </w:r>
    </w:p>
    <w:p w:rsidR="0000370B" w:rsidRPr="00652F76" w:rsidRDefault="0000370B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monitor an investigation conducted by a regulatory body</w:t>
      </w:r>
    </w:p>
    <w:p w:rsidR="0000370B" w:rsidRPr="00652F76" w:rsidRDefault="0000370B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request that the Victoria Police </w:t>
      </w:r>
      <w:r w:rsidR="00DA0321" w:rsidRPr="00652F76">
        <w:rPr>
          <w:rFonts w:cstheme="minorHAnsi"/>
          <w:color w:val="0E2A45" w:themeColor="text1"/>
        </w:rPr>
        <w:t>advise whether it is investigating a reportable allegation, and the result of any investigation</w:t>
      </w:r>
    </w:p>
    <w:p w:rsidR="0000370B" w:rsidRPr="00652F76" w:rsidRDefault="0000370B" w:rsidP="00293F86">
      <w:pPr>
        <w:pStyle w:val="ListParagraph"/>
        <w:numPr>
          <w:ilvl w:val="0"/>
          <w:numId w:val="3"/>
        </w:numPr>
        <w:rPr>
          <w:rFonts w:cstheme="minorHAnsi"/>
          <w:color w:val="0E2A45" w:themeColor="text1"/>
        </w:rPr>
      </w:pPr>
      <w:proofErr w:type="gramStart"/>
      <w:r w:rsidRPr="00652F76">
        <w:rPr>
          <w:rFonts w:cstheme="minorHAnsi"/>
          <w:color w:val="0E2A45" w:themeColor="text1"/>
        </w:rPr>
        <w:t>issue</w:t>
      </w:r>
      <w:proofErr w:type="gramEnd"/>
      <w:r w:rsidRPr="00652F76">
        <w:rPr>
          <w:rFonts w:cstheme="minorHAnsi"/>
          <w:color w:val="0E2A45" w:themeColor="text1"/>
        </w:rPr>
        <w:t xml:space="preserve"> a notice to produce information or documents to an organisation. Failure to comply may result in a civil penalty being awarded by the Magistrates’ Court.</w:t>
      </w:r>
    </w:p>
    <w:p w:rsidR="0000370B" w:rsidRPr="00652F76" w:rsidRDefault="0000370B" w:rsidP="0000370B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The Commission will be </w:t>
      </w:r>
      <w:r w:rsidR="00DA0321" w:rsidRPr="00652F76">
        <w:rPr>
          <w:rFonts w:cstheme="minorHAnsi"/>
          <w:color w:val="0E2A45" w:themeColor="text1"/>
        </w:rPr>
        <w:t>able to disclose information about an allegation and investigation into reportable conduct to the Victoria Police</w:t>
      </w:r>
      <w:r w:rsidR="00FC6D1E" w:rsidRPr="00652F76">
        <w:rPr>
          <w:rFonts w:cstheme="minorHAnsi"/>
          <w:color w:val="0E2A45" w:themeColor="text1"/>
        </w:rPr>
        <w:t xml:space="preserve"> and with relevant professional bodies and regulators</w:t>
      </w:r>
      <w:r w:rsidR="00C54E31">
        <w:rPr>
          <w:rFonts w:cstheme="minorHAnsi"/>
          <w:color w:val="0E2A45" w:themeColor="text1"/>
        </w:rPr>
        <w:t>.  If the C</w:t>
      </w:r>
      <w:r w:rsidR="00DA0321" w:rsidRPr="00652F76">
        <w:rPr>
          <w:rFonts w:cstheme="minorHAnsi"/>
          <w:color w:val="0E2A45" w:themeColor="text1"/>
        </w:rPr>
        <w:t>ommission makes a finding that an employee has committed reportable conduct it must notify the Department of Justice and Re</w:t>
      </w:r>
      <w:r w:rsidR="00C54E31">
        <w:rPr>
          <w:rFonts w:cstheme="minorHAnsi"/>
          <w:color w:val="0E2A45" w:themeColor="text1"/>
        </w:rPr>
        <w:t>gulation for the purposes of a Working with Children C</w:t>
      </w:r>
      <w:r w:rsidR="00DA0321" w:rsidRPr="00652F76">
        <w:rPr>
          <w:rFonts w:cstheme="minorHAnsi"/>
          <w:color w:val="0E2A45" w:themeColor="text1"/>
        </w:rPr>
        <w:t xml:space="preserve">heck. </w:t>
      </w:r>
    </w:p>
    <w:p w:rsidR="00DA0321" w:rsidRPr="00652F76" w:rsidRDefault="00DA0321" w:rsidP="0000370B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 xml:space="preserve">The Commission must include a review of the operation of the reportable conduct scheme in its annual report. </w:t>
      </w:r>
      <w:r w:rsidR="00792A7C" w:rsidRPr="00652F76">
        <w:rPr>
          <w:rFonts w:cstheme="minorHAnsi"/>
          <w:color w:val="0E2A45" w:themeColor="text1"/>
        </w:rPr>
        <w:t>A copy of the report may be tabled in Parliament. The reportable conduct scheme will be reviewed after 5 years.</w:t>
      </w:r>
    </w:p>
    <w:p w:rsidR="00792A7C" w:rsidRPr="00652F76" w:rsidRDefault="00792A7C" w:rsidP="0000370B">
      <w:pPr>
        <w:rPr>
          <w:rFonts w:cstheme="minorHAnsi"/>
          <w:color w:val="0E2A45" w:themeColor="text1"/>
        </w:rPr>
      </w:pPr>
      <w:r w:rsidRPr="00652F76">
        <w:rPr>
          <w:rFonts w:cstheme="minorHAnsi"/>
          <w:color w:val="0E2A45" w:themeColor="text1"/>
        </w:rPr>
        <w:t>The reportable conduct scheme will apply to organisations in three phases:</w:t>
      </w:r>
    </w:p>
    <w:p w:rsidR="00792A7C" w:rsidRPr="00652F76" w:rsidRDefault="00792A7C" w:rsidP="0000370B">
      <w:pPr>
        <w:rPr>
          <w:rFonts w:cstheme="minorHAnsi"/>
          <w:b/>
          <w:color w:val="0E2A45" w:themeColor="text1"/>
        </w:rPr>
      </w:pPr>
      <w:r w:rsidRPr="00652F76">
        <w:rPr>
          <w:rFonts w:cstheme="minorHAnsi"/>
          <w:b/>
          <w:color w:val="0E2A45" w:themeColor="text1"/>
        </w:rPr>
        <w:t xml:space="preserve">From 1 July 2017 the scheme will apply to: 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Government and non-government scho</w:t>
      </w:r>
      <w:r w:rsidR="00903AEB" w:rsidRPr="00652F76">
        <w:rPr>
          <w:rFonts w:eastAsia="Times New Roman" w:cstheme="minorHAnsi"/>
          <w:color w:val="0E2A45" w:themeColor="text1"/>
          <w:lang w:eastAsia="en-AU"/>
        </w:rPr>
        <w:t>ols and other secondary education providers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Registered overseas student exchange organisations.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lastRenderedPageBreak/>
        <w:t>Disability service providers that provides residential services for children with a disability.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Mental health service providers that provides in-patient beds for children and young people.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Drug or alcohol treatment services that provide in-patient beds for children and young people.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Housing or homelessness services that provides overnight beds for children and young people, such as youth refuges.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Child protection services.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Out-of-home care services.</w:t>
      </w:r>
    </w:p>
    <w:p w:rsidR="00792A7C" w:rsidRPr="00652F76" w:rsidRDefault="00792A7C" w:rsidP="00792A7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Government departments providing services to children (including youth justice and corrective services).</w:t>
      </w:r>
    </w:p>
    <w:p w:rsidR="00792A7C" w:rsidRPr="00652F76" w:rsidRDefault="00792A7C" w:rsidP="00792A7C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b/>
          <w:bCs/>
          <w:color w:val="0E2A45" w:themeColor="text1"/>
          <w:lang w:eastAsia="en-AU"/>
        </w:rPr>
        <w:t>From 1 January 2018 the scheme will apply to:</w:t>
      </w:r>
    </w:p>
    <w:p w:rsidR="00792A7C" w:rsidRPr="00652F76" w:rsidRDefault="00792A7C" w:rsidP="00792A7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Religious organisations.</w:t>
      </w:r>
    </w:p>
    <w:p w:rsidR="00792A7C" w:rsidRPr="00652F76" w:rsidRDefault="00792A7C" w:rsidP="00792A7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Residential facilities of boarding schools.</w:t>
      </w:r>
    </w:p>
    <w:p w:rsidR="00792A7C" w:rsidRPr="00652F76" w:rsidRDefault="00792A7C" w:rsidP="00792A7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Overnight camps for children.</w:t>
      </w:r>
    </w:p>
    <w:p w:rsidR="00792A7C" w:rsidRPr="00652F76" w:rsidRDefault="00792A7C" w:rsidP="00792A7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Public, denominational and private hospitals.</w:t>
      </w:r>
    </w:p>
    <w:p w:rsidR="00792A7C" w:rsidRPr="00652F76" w:rsidRDefault="00792A7C" w:rsidP="0000370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Other disability service providers that provide services for children, including those registered with the National Disability Insurance Scheme.</w:t>
      </w:r>
    </w:p>
    <w:p w:rsidR="00792A7C" w:rsidRPr="00652F76" w:rsidRDefault="00792A7C" w:rsidP="00792A7C">
      <w:pPr>
        <w:shd w:val="clear" w:color="auto" w:fill="FFFFFF"/>
        <w:spacing w:before="480" w:after="100" w:afterAutospacing="1" w:line="240" w:lineRule="auto"/>
        <w:outlineLvl w:val="1"/>
        <w:rPr>
          <w:rFonts w:eastAsia="Times New Roman" w:cstheme="minorHAnsi"/>
          <w:b/>
          <w:bCs/>
          <w:color w:val="0E2A45" w:themeColor="text1"/>
          <w:lang w:eastAsia="en-AU"/>
        </w:rPr>
      </w:pPr>
      <w:r w:rsidRPr="00652F76">
        <w:rPr>
          <w:rFonts w:eastAsia="Times New Roman" w:cstheme="minorHAnsi"/>
          <w:b/>
          <w:bCs/>
          <w:color w:val="0E2A45" w:themeColor="text1"/>
          <w:lang w:eastAsia="en-AU"/>
        </w:rPr>
        <w:t>From 1 January 2019 the scheme will apply to:</w:t>
      </w:r>
    </w:p>
    <w:p w:rsidR="00792A7C" w:rsidRPr="00652F76" w:rsidRDefault="00792A7C" w:rsidP="00792A7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Approved education and care services (e.g. kindergartens, after hours care services).</w:t>
      </w:r>
    </w:p>
    <w:p w:rsidR="00792A7C" w:rsidRPr="00652F76" w:rsidRDefault="00792A7C" w:rsidP="00792A7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Children’s services (e.g. occasional care providers).</w:t>
      </w:r>
    </w:p>
    <w:p w:rsidR="00792A7C" w:rsidRPr="00652F76" w:rsidRDefault="00792A7C" w:rsidP="00792A7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Statutory bodies that have responsibility for children, such as public museums and galleries.</w:t>
      </w:r>
    </w:p>
    <w:p w:rsidR="003B720A" w:rsidRPr="00652F76" w:rsidRDefault="00792A7C" w:rsidP="00792A7C">
      <w:pPr>
        <w:shd w:val="clear" w:color="auto" w:fill="FFFFFF"/>
        <w:spacing w:before="100" w:beforeAutospacing="1" w:after="100" w:afterAutospacing="1" w:line="319" w:lineRule="atLeast"/>
        <w:rPr>
          <w:rFonts w:eastAsia="Times New Roman" w:cstheme="minorHAnsi"/>
          <w:color w:val="0E2A45" w:themeColor="text1"/>
          <w:u w:val="single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 </w:t>
      </w:r>
      <w:r w:rsidRPr="00652F76">
        <w:rPr>
          <w:rFonts w:eastAsia="Times New Roman" w:cstheme="minorHAnsi"/>
          <w:color w:val="0E2A45" w:themeColor="text1"/>
          <w:u w:val="single"/>
          <w:lang w:eastAsia="en-AU"/>
        </w:rPr>
        <w:t>Checklist for organisations: What do you need to do</w:t>
      </w:r>
      <w:r w:rsidR="00A84021">
        <w:rPr>
          <w:rStyle w:val="EndnoteReference"/>
          <w:rFonts w:eastAsia="Times New Roman" w:cstheme="minorHAnsi"/>
          <w:color w:val="0E2A45" w:themeColor="text1"/>
          <w:u w:val="single"/>
          <w:lang w:eastAsia="en-AU"/>
        </w:rPr>
        <w:endnoteReference w:id="1"/>
      </w:r>
      <w:r w:rsidRPr="00652F76">
        <w:rPr>
          <w:rFonts w:eastAsia="Times New Roman" w:cstheme="minorHAnsi"/>
          <w:color w:val="0E2A45" w:themeColor="text1"/>
          <w:u w:val="single"/>
          <w:lang w:eastAsia="en-AU"/>
        </w:rPr>
        <w:t>?</w:t>
      </w:r>
    </w:p>
    <w:p w:rsidR="00792A7C" w:rsidRPr="00652F76" w:rsidRDefault="00792A7C" w:rsidP="00792A7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 xml:space="preserve">Ensure that the person in a relevant position of authority (such as the Chief Executive Officer) in the organisation is made aware of and reports any allegation of reportable conduct made against a worker </w:t>
      </w:r>
      <w:r w:rsidR="005310DD" w:rsidRPr="00652F76">
        <w:rPr>
          <w:rFonts w:eastAsia="Times New Roman" w:cstheme="minorHAnsi"/>
          <w:color w:val="0E2A45" w:themeColor="text1"/>
          <w:lang w:eastAsia="en-AU"/>
        </w:rPr>
        <w:t>or volunteer to the Commission.</w:t>
      </w:r>
    </w:p>
    <w:p w:rsidR="00792A7C" w:rsidRPr="00652F76" w:rsidRDefault="00792A7C" w:rsidP="00792A7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b/>
          <w:bCs/>
          <w:color w:val="0E2A45" w:themeColor="text1"/>
          <w:lang w:eastAsia="en-AU"/>
        </w:rPr>
        <w:t>In all circumstances, allegations of criminal conduct must be reported to Victoria Police as the first priority.</w:t>
      </w:r>
    </w:p>
    <w:p w:rsidR="00792A7C" w:rsidRPr="00652F76" w:rsidRDefault="00792A7C" w:rsidP="00792A7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>Ensure appropriate investigation of the allegation. This may be undertaken by a government departm</w:t>
      </w:r>
      <w:r w:rsidR="005310DD" w:rsidRPr="00652F76">
        <w:rPr>
          <w:rFonts w:eastAsia="Times New Roman" w:cstheme="minorHAnsi"/>
          <w:color w:val="0E2A45" w:themeColor="text1"/>
          <w:lang w:eastAsia="en-AU"/>
        </w:rPr>
        <w:t>ent or statutory body or through</w:t>
      </w:r>
      <w:r w:rsidRPr="00652F76">
        <w:rPr>
          <w:rFonts w:eastAsia="Times New Roman" w:cstheme="minorHAnsi"/>
          <w:color w:val="0E2A45" w:themeColor="text1"/>
          <w:lang w:eastAsia="en-AU"/>
        </w:rPr>
        <w:t xml:space="preserve"> internal investigation practices</w:t>
      </w:r>
      <w:r w:rsidR="005310DD" w:rsidRPr="00652F76">
        <w:rPr>
          <w:rFonts w:eastAsia="Times New Roman" w:cstheme="minorHAnsi"/>
          <w:color w:val="0E2A45" w:themeColor="text1"/>
          <w:lang w:eastAsia="en-AU"/>
        </w:rPr>
        <w:t xml:space="preserve">, depending on the type of organisation. </w:t>
      </w:r>
    </w:p>
    <w:p w:rsidR="00792A7C" w:rsidRPr="00652F76" w:rsidRDefault="00792A7C" w:rsidP="00792A7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color w:val="0E2A45" w:themeColor="text1"/>
          <w:lang w:eastAsia="en-AU"/>
        </w:rPr>
      </w:pPr>
      <w:r w:rsidRPr="00652F76">
        <w:rPr>
          <w:rFonts w:eastAsia="Times New Roman" w:cstheme="minorHAnsi"/>
          <w:color w:val="0E2A45" w:themeColor="text1"/>
          <w:lang w:eastAsia="en-AU"/>
        </w:rPr>
        <w:t xml:space="preserve">Report any findings and the reasons for the outcome of an </w:t>
      </w:r>
      <w:r w:rsidR="005310DD" w:rsidRPr="00652F76">
        <w:rPr>
          <w:rFonts w:eastAsia="Times New Roman" w:cstheme="minorHAnsi"/>
          <w:color w:val="0E2A45" w:themeColor="text1"/>
          <w:lang w:eastAsia="en-AU"/>
        </w:rPr>
        <w:t xml:space="preserve">investigation to the Commission </w:t>
      </w:r>
      <w:r w:rsidRPr="00652F76">
        <w:rPr>
          <w:rFonts w:eastAsia="Times New Roman" w:cstheme="minorHAnsi"/>
          <w:color w:val="0E2A45" w:themeColor="text1"/>
          <w:lang w:eastAsia="en-AU"/>
        </w:rPr>
        <w:t>at the conclusion of the investigation.</w:t>
      </w:r>
    </w:p>
    <w:p w:rsidR="00DD4F6A" w:rsidRDefault="00DD4F6A"/>
    <w:sectPr w:rsidR="00DD4F6A">
      <w:endnotePr>
        <w:numFmt w:val="chicago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7A" w:rsidRDefault="00F3087A" w:rsidP="00C54E31">
      <w:pPr>
        <w:spacing w:after="0" w:line="240" w:lineRule="auto"/>
      </w:pPr>
      <w:r>
        <w:separator/>
      </w:r>
    </w:p>
  </w:endnote>
  <w:endnote w:type="continuationSeparator" w:id="0">
    <w:p w:rsidR="00F3087A" w:rsidRDefault="00F3087A" w:rsidP="00C54E31">
      <w:pPr>
        <w:spacing w:after="0" w:line="240" w:lineRule="auto"/>
      </w:pPr>
      <w:r>
        <w:continuationSeparator/>
      </w:r>
    </w:p>
  </w:endnote>
  <w:endnote w:id="1">
    <w:p w:rsidR="00A84021" w:rsidRDefault="00A84021">
      <w:pPr>
        <w:pStyle w:val="EndnoteText"/>
      </w:pPr>
      <w:r>
        <w:rPr>
          <w:rStyle w:val="EndnoteReference"/>
        </w:rPr>
        <w:endnoteRef/>
      </w:r>
      <w:r>
        <w:t xml:space="preserve"> For more information go to  the Commission for Children and Young People website at: </w:t>
      </w:r>
      <w:hyperlink r:id="rId1" w:history="1">
        <w:r w:rsidRPr="00904A61">
          <w:rPr>
            <w:rStyle w:val="Hyperlink"/>
          </w:rPr>
          <w:t>http://www.ccyp.vic.gov.au/reportableconduct/index.htm</w:t>
        </w:r>
      </w:hyperlink>
    </w:p>
    <w:p w:rsidR="00A84021" w:rsidRDefault="00A84021">
      <w:pPr>
        <w:pStyle w:val="EndnoteText"/>
      </w:pPr>
      <w:r>
        <w:t xml:space="preserve">Subscribe for child safe updates at:  </w:t>
      </w:r>
      <w:r w:rsidRPr="00A84021">
        <w:t xml:space="preserve"> </w:t>
      </w:r>
      <w:hyperlink r:id="rId2" w:history="1">
        <w:r w:rsidRPr="00A84021">
          <w:rPr>
            <w:rStyle w:val="Hyperlink"/>
            <w:rFonts w:ascii="Helvetica" w:hAnsi="Helvetica" w:cs="Helvetica"/>
            <w:color w:val="0568AD"/>
            <w:shd w:val="clear" w:color="auto" w:fill="FFFFFF"/>
          </w:rPr>
          <w:t>Subscribe to the Child Safe Standards Update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7A" w:rsidRDefault="00F3087A" w:rsidP="00C54E31">
      <w:pPr>
        <w:spacing w:after="0" w:line="240" w:lineRule="auto"/>
      </w:pPr>
      <w:r>
        <w:separator/>
      </w:r>
    </w:p>
  </w:footnote>
  <w:footnote w:type="continuationSeparator" w:id="0">
    <w:p w:rsidR="00F3087A" w:rsidRDefault="00F3087A" w:rsidP="00C5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051"/>
    <w:multiLevelType w:val="hybridMultilevel"/>
    <w:tmpl w:val="6AC8E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0275"/>
    <w:multiLevelType w:val="multilevel"/>
    <w:tmpl w:val="F5CE7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0167C"/>
    <w:multiLevelType w:val="multilevel"/>
    <w:tmpl w:val="9384A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45034"/>
    <w:multiLevelType w:val="multilevel"/>
    <w:tmpl w:val="3D901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02998"/>
    <w:multiLevelType w:val="hybridMultilevel"/>
    <w:tmpl w:val="8E4E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2DE2"/>
    <w:multiLevelType w:val="hybridMultilevel"/>
    <w:tmpl w:val="EDD23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5E1A"/>
    <w:multiLevelType w:val="multilevel"/>
    <w:tmpl w:val="B77EE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6A"/>
    <w:rsid w:val="0000370B"/>
    <w:rsid w:val="00293F86"/>
    <w:rsid w:val="002F1059"/>
    <w:rsid w:val="00376552"/>
    <w:rsid w:val="003B720A"/>
    <w:rsid w:val="005310DD"/>
    <w:rsid w:val="005A696E"/>
    <w:rsid w:val="00652F76"/>
    <w:rsid w:val="00792A7C"/>
    <w:rsid w:val="008F0CAD"/>
    <w:rsid w:val="00903AEB"/>
    <w:rsid w:val="00A84021"/>
    <w:rsid w:val="00C54E31"/>
    <w:rsid w:val="00CF36CC"/>
    <w:rsid w:val="00D05402"/>
    <w:rsid w:val="00DA0321"/>
    <w:rsid w:val="00DA7BBE"/>
    <w:rsid w:val="00DD4F6A"/>
    <w:rsid w:val="00F3087A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2"/>
  </w:style>
  <w:style w:type="paragraph" w:styleId="Heading2">
    <w:name w:val="heading 2"/>
    <w:basedOn w:val="Normal"/>
    <w:link w:val="Heading2Char"/>
    <w:uiPriority w:val="9"/>
    <w:qFormat/>
    <w:rsid w:val="00792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A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792A7C"/>
    <w:rPr>
      <w:b/>
      <w:bCs/>
    </w:rPr>
  </w:style>
  <w:style w:type="character" w:customStyle="1" w:styleId="apple-converted-space">
    <w:name w:val="apple-converted-space"/>
    <w:basedOn w:val="DefaultParagraphFont"/>
    <w:rsid w:val="00792A7C"/>
  </w:style>
  <w:style w:type="paragraph" w:styleId="NormalWeb">
    <w:name w:val="Normal (Web)"/>
    <w:basedOn w:val="Normal"/>
    <w:uiPriority w:val="99"/>
    <w:semiHidden/>
    <w:unhideWhenUsed/>
    <w:rsid w:val="007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E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0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0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0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2"/>
  </w:style>
  <w:style w:type="paragraph" w:styleId="Heading2">
    <w:name w:val="heading 2"/>
    <w:basedOn w:val="Normal"/>
    <w:link w:val="Heading2Char"/>
    <w:uiPriority w:val="9"/>
    <w:qFormat/>
    <w:rsid w:val="00792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A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792A7C"/>
    <w:rPr>
      <w:b/>
      <w:bCs/>
    </w:rPr>
  </w:style>
  <w:style w:type="character" w:customStyle="1" w:styleId="apple-converted-space">
    <w:name w:val="apple-converted-space"/>
    <w:basedOn w:val="DefaultParagraphFont"/>
    <w:rsid w:val="00792A7C"/>
  </w:style>
  <w:style w:type="paragraph" w:styleId="NormalWeb">
    <w:name w:val="Normal (Web)"/>
    <w:basedOn w:val="Normal"/>
    <w:uiPriority w:val="99"/>
    <w:semiHidden/>
    <w:unhideWhenUsed/>
    <w:rsid w:val="007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E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E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E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0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0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0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c.us13.list-manage.com/subscribe?u=d80ceb9abcbee5ad99ddd919d&amp;id=66d43cbee1" TargetMode="External"/><Relationship Id="rId1" Type="http://schemas.openxmlformats.org/officeDocument/2006/relationships/hyperlink" Target="http://www.ccyp.vic.gov.au/reportableconduct/index.htm" TargetMode="External"/></Relationships>
</file>

<file path=word/theme/theme1.xml><?xml version="1.0" encoding="utf-8"?>
<a:theme xmlns:a="http://schemas.openxmlformats.org/drawingml/2006/main" name="CFECFW Theme1">
  <a:themeElements>
    <a:clrScheme name="CFECFW 2017">
      <a:dk1>
        <a:srgbClr val="0E2A45"/>
      </a:dk1>
      <a:lt1>
        <a:srgbClr val="D1DAE0"/>
      </a:lt1>
      <a:dk2>
        <a:srgbClr val="797979"/>
      </a:dk2>
      <a:lt2>
        <a:srgbClr val="306892"/>
      </a:lt2>
      <a:accent1>
        <a:srgbClr val="6B9F22"/>
      </a:accent1>
      <a:accent2>
        <a:srgbClr val="15A4B8"/>
      </a:accent2>
      <a:accent3>
        <a:srgbClr val="E15418"/>
      </a:accent3>
      <a:accent4>
        <a:srgbClr val="C82B1C"/>
      </a:accent4>
      <a:accent5>
        <a:srgbClr val="6D559E"/>
      </a:accent5>
      <a:accent6>
        <a:srgbClr val="C34B93"/>
      </a:accent6>
      <a:hlink>
        <a:srgbClr val="306892"/>
      </a:hlink>
      <a:folHlink>
        <a:srgbClr val="797979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 dirty="0">
            <a:latin typeface="Open Sans Ligh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4838-46EE-4B92-9D59-F2D451A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Antonas</dc:creator>
  <cp:lastModifiedBy>Matt Incerti</cp:lastModifiedBy>
  <cp:revision>3</cp:revision>
  <cp:lastPrinted>2017-03-02T05:42:00Z</cp:lastPrinted>
  <dcterms:created xsi:type="dcterms:W3CDTF">2017-03-08T01:52:00Z</dcterms:created>
  <dcterms:modified xsi:type="dcterms:W3CDTF">2017-03-08T01:53:00Z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